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234F7" w:rsidRPr="007C1F7D" w14:paraId="7FF197E4" w14:textId="77777777" w:rsidTr="008213C8">
        <w:tc>
          <w:tcPr>
            <w:tcW w:w="8789" w:type="dxa"/>
          </w:tcPr>
          <w:p w14:paraId="471DF407" w14:textId="77777777" w:rsidR="00E234F7" w:rsidRPr="00E234F7" w:rsidRDefault="00E234F7" w:rsidP="00E234F7">
            <w:pPr>
              <w:spacing w:line="240" w:lineRule="auto"/>
              <w:jc w:val="distribute"/>
              <w:rPr>
                <w:rFonts w:ascii="HG丸ｺﾞｼｯｸM-PRO" w:eastAsia="HG丸ｺﾞｼｯｸM-PRO" w:hAnsi="ＭＳ ゴシック"/>
                <w:b/>
                <w:sz w:val="28"/>
                <w:szCs w:val="28"/>
              </w:rPr>
            </w:pPr>
            <w:r w:rsidRPr="00E234F7">
              <w:rPr>
                <w:rFonts w:ascii="HG丸ｺﾞｼｯｸM-PRO" w:eastAsia="HG丸ｺﾞｼｯｸM-PRO" w:hAnsi="ＭＳ ゴシック" w:hint="eastAsia"/>
                <w:b/>
                <w:sz w:val="28"/>
                <w:szCs w:val="28"/>
              </w:rPr>
              <w:t>公益財団法人にいがた産業創造機構が取りまとめて出展する</w:t>
            </w:r>
          </w:p>
          <w:p w14:paraId="632790F9" w14:textId="77777777" w:rsidR="00E234F7" w:rsidRPr="007C1F7D" w:rsidRDefault="00E234F7" w:rsidP="00E234F7">
            <w:pPr>
              <w:spacing w:line="240" w:lineRule="auto"/>
              <w:rPr>
                <w:rFonts w:ascii="ＭＳ ゴシック" w:eastAsia="ＭＳ ゴシック" w:hAnsi="ＭＳ ゴシック"/>
                <w:b/>
                <w:sz w:val="28"/>
                <w:szCs w:val="28"/>
              </w:rPr>
            </w:pPr>
            <w:r w:rsidRPr="00E234F7">
              <w:rPr>
                <w:rFonts w:ascii="HG丸ｺﾞｼｯｸM-PRO" w:eastAsia="HG丸ｺﾞｼｯｸM-PRO" w:hAnsi="ＭＳ ゴシック" w:hint="eastAsia"/>
                <w:b/>
                <w:sz w:val="28"/>
                <w:szCs w:val="28"/>
              </w:rPr>
              <w:t>海外見本市等への出展要件</w:t>
            </w:r>
          </w:p>
        </w:tc>
      </w:tr>
    </w:tbl>
    <w:p w14:paraId="725CF432" w14:textId="77777777" w:rsidR="00E234F7" w:rsidRPr="00927405" w:rsidRDefault="00E234F7" w:rsidP="00E234F7">
      <w:pPr>
        <w:spacing w:line="240" w:lineRule="auto"/>
        <w:rPr>
          <w:rFonts w:hAnsi="ＭＳ 明朝"/>
        </w:rPr>
      </w:pPr>
    </w:p>
    <w:p w14:paraId="7311116E" w14:textId="77777777" w:rsidR="00E234F7" w:rsidRPr="00E234F7" w:rsidRDefault="00E234F7" w:rsidP="00E234F7">
      <w:pPr>
        <w:spacing w:line="240" w:lineRule="auto"/>
        <w:rPr>
          <w:rFonts w:ascii="HG丸ｺﾞｼｯｸM-PRO" w:eastAsia="HG丸ｺﾞｼｯｸM-PRO" w:hAnsi="ＭＳ 明朝"/>
          <w:sz w:val="22"/>
          <w:szCs w:val="22"/>
        </w:rPr>
      </w:pPr>
      <w:r w:rsidRPr="00E234F7">
        <w:rPr>
          <w:rFonts w:ascii="HG丸ｺﾞｼｯｸM-PRO" w:eastAsia="HG丸ｺﾞｼｯｸM-PRO" w:hAnsi="ＭＳ ゴシック" w:hint="eastAsia"/>
          <w:sz w:val="22"/>
          <w:szCs w:val="22"/>
        </w:rPr>
        <w:t xml:space="preserve">１　出展対象企業　：　</w:t>
      </w:r>
      <w:r w:rsidRPr="00E234F7">
        <w:rPr>
          <w:rFonts w:ascii="HG丸ｺﾞｼｯｸM-PRO" w:eastAsia="HG丸ｺﾞｼｯｸM-PRO" w:hAnsi="ＭＳ 明朝" w:hint="eastAsia"/>
          <w:sz w:val="22"/>
          <w:szCs w:val="22"/>
        </w:rPr>
        <w:t>県内企業で、以下の参加要件に合致し、参加要件を遵守する企業。</w:t>
      </w:r>
    </w:p>
    <w:p w14:paraId="70D69F1F" w14:textId="77777777" w:rsidR="00E234F7" w:rsidRPr="00E234F7" w:rsidRDefault="00E234F7" w:rsidP="00E234F7">
      <w:pPr>
        <w:spacing w:line="240" w:lineRule="auto"/>
        <w:rPr>
          <w:rFonts w:ascii="HG丸ｺﾞｼｯｸM-PRO" w:eastAsia="HG丸ｺﾞｼｯｸM-PRO" w:hAnsi="ＭＳ 明朝"/>
          <w:sz w:val="22"/>
          <w:szCs w:val="22"/>
        </w:rPr>
      </w:pPr>
    </w:p>
    <w:p w14:paraId="74A35355" w14:textId="77777777" w:rsidR="00E234F7" w:rsidRPr="00E234F7" w:rsidRDefault="00E234F7" w:rsidP="00E234F7">
      <w:pPr>
        <w:spacing w:line="240" w:lineRule="auto"/>
        <w:ind w:left="2552" w:hangingChars="1100" w:hanging="2552"/>
        <w:rPr>
          <w:rFonts w:ascii="HG丸ｺﾞｼｯｸM-PRO" w:eastAsia="HG丸ｺﾞｼｯｸM-PRO" w:hAnsi="ＭＳ 明朝"/>
          <w:sz w:val="22"/>
          <w:szCs w:val="22"/>
        </w:rPr>
      </w:pPr>
      <w:r w:rsidRPr="00E234F7">
        <w:rPr>
          <w:rFonts w:ascii="HG丸ｺﾞｼｯｸM-PRO" w:eastAsia="HG丸ｺﾞｼｯｸM-PRO" w:hAnsi="ＭＳ ゴシック" w:hint="eastAsia"/>
          <w:sz w:val="22"/>
          <w:szCs w:val="22"/>
        </w:rPr>
        <w:t xml:space="preserve">２　担当職員の派遣：　</w:t>
      </w:r>
      <w:r w:rsidRPr="00E234F7">
        <w:rPr>
          <w:rFonts w:ascii="HG丸ｺﾞｼｯｸM-PRO" w:eastAsia="HG丸ｺﾞｼｯｸM-PRO" w:hAnsi="ＭＳ 明朝" w:hint="eastAsia"/>
          <w:sz w:val="22"/>
          <w:szCs w:val="22"/>
        </w:rPr>
        <w:t>原則として、期間中自社担当職員または関係企業職員を派遣する。</w:t>
      </w:r>
    </w:p>
    <w:p w14:paraId="38C0D373" w14:textId="77777777" w:rsidR="00E234F7" w:rsidRPr="00E234F7" w:rsidRDefault="00E234F7" w:rsidP="00E234F7">
      <w:pPr>
        <w:spacing w:line="240" w:lineRule="auto"/>
        <w:rPr>
          <w:rFonts w:ascii="HG丸ｺﾞｼｯｸM-PRO" w:eastAsia="HG丸ｺﾞｼｯｸM-PRO" w:hAnsi="ＭＳ 明朝"/>
          <w:sz w:val="22"/>
          <w:szCs w:val="22"/>
        </w:rPr>
      </w:pPr>
    </w:p>
    <w:p w14:paraId="587CA816" w14:textId="77777777" w:rsidR="00E234F7" w:rsidRPr="00E234F7" w:rsidRDefault="00E234F7" w:rsidP="00E234F7">
      <w:pPr>
        <w:spacing w:line="240" w:lineRule="auto"/>
        <w:rPr>
          <w:rFonts w:ascii="HG丸ｺﾞｼｯｸM-PRO" w:eastAsia="HG丸ｺﾞｼｯｸM-PRO" w:hAnsi="ＭＳ 明朝"/>
          <w:sz w:val="22"/>
          <w:szCs w:val="22"/>
        </w:rPr>
      </w:pPr>
      <w:r w:rsidRPr="00E234F7">
        <w:rPr>
          <w:rFonts w:ascii="HG丸ｺﾞｼｯｸM-PRO" w:eastAsia="HG丸ｺﾞｼｯｸM-PRO" w:hAnsi="ＭＳ ゴシック" w:hint="eastAsia"/>
          <w:sz w:val="22"/>
          <w:szCs w:val="22"/>
        </w:rPr>
        <w:t xml:space="preserve">３　出展目的　　　：　</w:t>
      </w:r>
      <w:r w:rsidRPr="00E234F7">
        <w:rPr>
          <w:rFonts w:ascii="HG丸ｺﾞｼｯｸM-PRO" w:eastAsia="HG丸ｺﾞｼｯｸM-PRO" w:hAnsi="ＭＳ 明朝" w:hint="eastAsia"/>
          <w:sz w:val="22"/>
          <w:szCs w:val="22"/>
        </w:rPr>
        <w:t>出展品・出展サービス等の恒常的な取引を目的とすることとし、</w:t>
      </w:r>
    </w:p>
    <w:p w14:paraId="41492E81" w14:textId="77777777" w:rsidR="00E234F7" w:rsidRPr="00E234F7" w:rsidRDefault="00E234F7" w:rsidP="00E234F7">
      <w:pPr>
        <w:spacing w:line="240" w:lineRule="auto"/>
        <w:ind w:firstLineChars="1104" w:firstLine="2561"/>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その場限りの販売等が主たる目的の出展は認められません。</w:t>
      </w:r>
    </w:p>
    <w:p w14:paraId="2F89F4E3" w14:textId="77777777" w:rsidR="00E234F7" w:rsidRPr="00E234F7" w:rsidRDefault="00E234F7" w:rsidP="00E234F7">
      <w:pPr>
        <w:spacing w:line="240" w:lineRule="auto"/>
        <w:rPr>
          <w:rFonts w:ascii="HG丸ｺﾞｼｯｸM-PRO" w:eastAsia="HG丸ｺﾞｼｯｸM-PRO" w:hAnsi="ＭＳ 明朝"/>
          <w:sz w:val="22"/>
          <w:szCs w:val="22"/>
        </w:rPr>
      </w:pPr>
    </w:p>
    <w:p w14:paraId="5A848320" w14:textId="77777777" w:rsidR="00E234F7" w:rsidRPr="00E234F7" w:rsidRDefault="00E234F7" w:rsidP="00E234F7">
      <w:pPr>
        <w:spacing w:line="240" w:lineRule="auto"/>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４　出展商品の販売規制の遵守</w:t>
      </w:r>
    </w:p>
    <w:p w14:paraId="28A75A96" w14:textId="77777777" w:rsidR="00E234F7" w:rsidRPr="00E234F7" w:rsidRDefault="00E234F7" w:rsidP="00E234F7">
      <w:pPr>
        <w:spacing w:line="240" w:lineRule="auto"/>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（１）出展商品の販売が禁止されている見本市等で販売することは厳禁です。</w:t>
      </w:r>
    </w:p>
    <w:p w14:paraId="374AFEEA" w14:textId="77777777"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p>
    <w:p w14:paraId="5322295A" w14:textId="77777777"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（２）一般来場者に対しては販売禁止で、バイヤー等への有償サンプル提供のみ認められている見本市等にあっては、販売を主たる目的とした出展はできません。</w:t>
      </w:r>
    </w:p>
    <w:p w14:paraId="6099536F" w14:textId="77777777" w:rsidR="00E234F7" w:rsidRPr="00E234F7" w:rsidRDefault="00E234F7" w:rsidP="00E234F7">
      <w:pPr>
        <w:spacing w:line="240" w:lineRule="auto"/>
        <w:ind w:leftChars="339" w:left="1202" w:hangingChars="150" w:hanging="348"/>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 この場合において、通常、主催者から禁止されている行為（同一商品の大量持ち込みや値札を表示しての販売等）は厳禁です。</w:t>
      </w:r>
    </w:p>
    <w:p w14:paraId="7522BF2F" w14:textId="77777777"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p>
    <w:p w14:paraId="510D6390" w14:textId="77777777"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（３）一般来場者に対する試験販売が認められている場合であっても、保税状態にある商品について通関手続きをせずに販売することは厳禁です。</w:t>
      </w:r>
    </w:p>
    <w:p w14:paraId="09B15DF6" w14:textId="77777777" w:rsidR="00E234F7" w:rsidRPr="00E234F7" w:rsidRDefault="00E234F7" w:rsidP="00E234F7">
      <w:pPr>
        <w:spacing w:line="240" w:lineRule="auto"/>
        <w:rPr>
          <w:rFonts w:ascii="HG丸ｺﾞｼｯｸM-PRO" w:eastAsia="HG丸ｺﾞｼｯｸM-PRO" w:hAnsi="ＭＳ 明朝"/>
          <w:sz w:val="22"/>
          <w:szCs w:val="22"/>
        </w:rPr>
      </w:pPr>
    </w:p>
    <w:p w14:paraId="746E6741" w14:textId="77777777" w:rsidR="00E234F7" w:rsidRPr="00E234F7" w:rsidRDefault="00E234F7" w:rsidP="00E234F7">
      <w:pPr>
        <w:spacing w:line="240" w:lineRule="auto"/>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５　出展の決定と出展スペース</w:t>
      </w:r>
    </w:p>
    <w:p w14:paraId="4A7C0DFE" w14:textId="77777777" w:rsidR="00E234F7" w:rsidRPr="00E234F7" w:rsidRDefault="00E234F7" w:rsidP="00E234F7">
      <w:pPr>
        <w:spacing w:line="240" w:lineRule="auto"/>
        <w:ind w:left="567" w:firstLineChars="112" w:firstLine="260"/>
        <w:jc w:val="left"/>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見本市の出展スペースは、公募の前に概算で確保することが通例であるため、</w:t>
      </w:r>
      <w:r w:rsidRPr="00E234F7">
        <w:rPr>
          <w:rFonts w:ascii="HG丸ｺﾞｼｯｸM-PRO" w:eastAsia="HG丸ｺﾞｼｯｸM-PRO" w:hAnsi="ＭＳ 明朝" w:hint="eastAsia"/>
          <w:color w:val="000000"/>
          <w:sz w:val="22"/>
          <w:szCs w:val="22"/>
        </w:rPr>
        <w:t>出展スペースが限られ、</w:t>
      </w:r>
      <w:r w:rsidRPr="00E234F7">
        <w:rPr>
          <w:rFonts w:ascii="HG丸ｺﾞｼｯｸM-PRO" w:eastAsia="HG丸ｺﾞｼｯｸM-PRO" w:hAnsi="ＭＳ 明朝" w:hint="eastAsia"/>
          <w:sz w:val="22"/>
          <w:szCs w:val="22"/>
        </w:rPr>
        <w:t>応募多数の場合は、初回の参加者を優先的に決定したり、１社１ブース未満となる場合があるので了承願います。</w:t>
      </w:r>
    </w:p>
    <w:p w14:paraId="143199F9" w14:textId="77777777" w:rsidR="00E234F7" w:rsidRPr="00E234F7" w:rsidRDefault="00E234F7" w:rsidP="00E234F7">
      <w:pPr>
        <w:spacing w:line="240" w:lineRule="auto"/>
        <w:ind w:left="567" w:firstLineChars="112" w:firstLine="260"/>
        <w:jc w:val="left"/>
        <w:rPr>
          <w:rFonts w:ascii="HG丸ｺﾞｼｯｸM-PRO" w:eastAsia="HG丸ｺﾞｼｯｸM-PRO"/>
          <w:sz w:val="22"/>
          <w:szCs w:val="22"/>
        </w:rPr>
      </w:pPr>
      <w:r w:rsidRPr="00E234F7">
        <w:rPr>
          <w:rFonts w:ascii="HG丸ｺﾞｼｯｸM-PRO" w:eastAsia="HG丸ｺﾞｼｯｸM-PRO" w:hint="eastAsia"/>
          <w:sz w:val="22"/>
          <w:szCs w:val="22"/>
        </w:rPr>
        <w:t>また、装飾・配置などについては事務局に一任願います。</w:t>
      </w:r>
    </w:p>
    <w:p w14:paraId="4DECB0FC" w14:textId="77777777" w:rsidR="00E234F7" w:rsidRPr="00E234F7" w:rsidRDefault="00E234F7" w:rsidP="00E234F7">
      <w:pPr>
        <w:spacing w:line="240" w:lineRule="auto"/>
        <w:rPr>
          <w:rFonts w:ascii="HG丸ｺﾞｼｯｸM-PRO" w:eastAsia="HG丸ｺﾞｼｯｸM-PRO" w:hAnsi="ＭＳ 明朝"/>
          <w:sz w:val="22"/>
          <w:szCs w:val="22"/>
        </w:rPr>
      </w:pPr>
    </w:p>
    <w:p w14:paraId="0C4E90FC" w14:textId="77777777" w:rsidR="00E234F7" w:rsidRPr="00E234F7" w:rsidRDefault="00E234F7" w:rsidP="00E234F7">
      <w:pPr>
        <w:spacing w:line="240" w:lineRule="auto"/>
        <w:ind w:leftChars="9" w:left="371" w:hangingChars="150" w:hanging="348"/>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 xml:space="preserve">６　</w:t>
      </w:r>
      <w:r w:rsidRPr="00E234F7">
        <w:rPr>
          <w:rFonts w:ascii="HG丸ｺﾞｼｯｸM-PRO" w:eastAsia="HG丸ｺﾞｼｯｸM-PRO" w:hAnsi="ＭＳ ゴシック" w:hint="eastAsia"/>
          <w:kern w:val="0"/>
          <w:sz w:val="22"/>
          <w:szCs w:val="22"/>
        </w:rPr>
        <w:t>ＮＩＣＯへの</w:t>
      </w:r>
      <w:r w:rsidRPr="00E234F7">
        <w:rPr>
          <w:rFonts w:ascii="HG丸ｺﾞｼｯｸM-PRO" w:eastAsia="HG丸ｺﾞｼｯｸM-PRO" w:hAnsi="ＭＳ ゴシック" w:hint="eastAsia"/>
          <w:sz w:val="22"/>
          <w:szCs w:val="22"/>
        </w:rPr>
        <w:t>成果報告義務</w:t>
      </w:r>
    </w:p>
    <w:p w14:paraId="3D1CDA6E" w14:textId="77777777" w:rsidR="00E234F7" w:rsidRPr="00E234F7" w:rsidRDefault="00E234F7" w:rsidP="00E234F7">
      <w:pPr>
        <w:spacing w:line="240" w:lineRule="auto"/>
        <w:ind w:leftChars="116" w:left="292" w:firstLineChars="95" w:firstLine="220"/>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u w:val="single"/>
        </w:rPr>
        <w:t>会期終了後１か月以内</w:t>
      </w:r>
      <w:r w:rsidRPr="00E234F7">
        <w:rPr>
          <w:rFonts w:ascii="HG丸ｺﾞｼｯｸM-PRO" w:eastAsia="HG丸ｺﾞｼｯｸM-PRO" w:hAnsi="ＭＳ 明朝" w:hint="eastAsia"/>
          <w:sz w:val="22"/>
          <w:szCs w:val="22"/>
        </w:rPr>
        <w:t>に、商談成果の報告書を</w:t>
      </w:r>
      <w:r w:rsidRPr="00E234F7">
        <w:rPr>
          <w:rFonts w:ascii="HG丸ｺﾞｼｯｸM-PRO" w:eastAsia="HG丸ｺﾞｼｯｸM-PRO" w:hAnsi="ＭＳ ゴシック" w:hint="eastAsia"/>
          <w:kern w:val="0"/>
          <w:sz w:val="22"/>
          <w:szCs w:val="22"/>
          <w:bdr w:val="single" w:sz="4" w:space="0" w:color="auto"/>
        </w:rPr>
        <w:t>別記様式２</w:t>
      </w:r>
      <w:r w:rsidRPr="00E234F7">
        <w:rPr>
          <w:rFonts w:ascii="HG丸ｺﾞｼｯｸM-PRO" w:eastAsia="HG丸ｺﾞｼｯｸM-PRO" w:hAnsi="ＭＳ 明朝" w:hint="eastAsia"/>
          <w:kern w:val="0"/>
          <w:sz w:val="22"/>
          <w:szCs w:val="22"/>
        </w:rPr>
        <w:t>により提出</w:t>
      </w:r>
      <w:r w:rsidRPr="00E234F7">
        <w:rPr>
          <w:rFonts w:ascii="HG丸ｺﾞｼｯｸM-PRO" w:eastAsia="HG丸ｺﾞｼｯｸM-PRO" w:hAnsi="ＭＳ 明朝" w:hint="eastAsia"/>
          <w:sz w:val="22"/>
          <w:szCs w:val="22"/>
        </w:rPr>
        <w:t>してください。</w:t>
      </w:r>
    </w:p>
    <w:p w14:paraId="16F4815C" w14:textId="77777777" w:rsidR="00E234F7" w:rsidRPr="00E234F7" w:rsidRDefault="00E234F7" w:rsidP="00E234F7">
      <w:pPr>
        <w:spacing w:line="240" w:lineRule="auto"/>
        <w:ind w:leftChars="116" w:left="292" w:firstLineChars="95" w:firstLine="220"/>
        <w:rPr>
          <w:rFonts w:ascii="HG丸ｺﾞｼｯｸM-PRO" w:eastAsia="HG丸ｺﾞｼｯｸM-PRO" w:hAnsi="ＭＳ 明朝"/>
          <w:sz w:val="22"/>
          <w:szCs w:val="22"/>
          <w:u w:val="single"/>
        </w:rPr>
      </w:pPr>
      <w:r w:rsidRPr="00E234F7">
        <w:rPr>
          <w:rFonts w:ascii="HG丸ｺﾞｼｯｸM-PRO" w:eastAsia="HG丸ｺﾞｼｯｸM-PRO" w:hAnsi="ＭＳ 明朝" w:hint="eastAsia"/>
          <w:sz w:val="22"/>
          <w:szCs w:val="22"/>
        </w:rPr>
        <w:t>また、</w:t>
      </w:r>
      <w:r w:rsidRPr="00E234F7">
        <w:rPr>
          <w:rFonts w:ascii="HG丸ｺﾞｼｯｸM-PRO" w:eastAsia="HG丸ｺﾞｼｯｸM-PRO" w:hAnsi="ＭＳ 明朝" w:hint="eastAsia"/>
          <w:sz w:val="22"/>
          <w:szCs w:val="22"/>
          <w:u w:val="single"/>
        </w:rPr>
        <w:t>出展から１年を経過するまでの間、四半期ごとに商談成果についてフォローアップ調査を実施します</w:t>
      </w:r>
      <w:r w:rsidRPr="00E234F7">
        <w:rPr>
          <w:rFonts w:ascii="HG丸ｺﾞｼｯｸM-PRO" w:eastAsia="HG丸ｺﾞｼｯｸM-PRO" w:hAnsi="ＭＳ 明朝" w:hint="eastAsia"/>
          <w:sz w:val="22"/>
          <w:szCs w:val="22"/>
        </w:rPr>
        <w:t>ので、ご協力をお願いします。</w:t>
      </w:r>
    </w:p>
    <w:p w14:paraId="3D136044" w14:textId="77777777" w:rsidR="00E234F7" w:rsidRPr="00E234F7" w:rsidRDefault="00E234F7" w:rsidP="00E234F7">
      <w:pPr>
        <w:spacing w:line="240" w:lineRule="auto"/>
        <w:ind w:leftChars="100" w:left="542" w:hangingChars="125" w:hanging="290"/>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 本報告書は、受益者負担と事業成果の観点から出展者全体像の把握・公表のみに使用し、提出者の同意なしに出展品以外の、個々の情報を開示することはありません。尚、不提出の場合は、以降の参加をご遠慮頂くことがあります。</w:t>
      </w:r>
    </w:p>
    <w:p w14:paraId="2B60F33C" w14:textId="77777777" w:rsidR="00E234F7" w:rsidRPr="00E234F7" w:rsidRDefault="00E234F7" w:rsidP="00E234F7">
      <w:pPr>
        <w:spacing w:line="240" w:lineRule="auto"/>
        <w:rPr>
          <w:rFonts w:ascii="HG丸ｺﾞｼｯｸM-PRO" w:eastAsia="HG丸ｺﾞｼｯｸM-PRO" w:hAnsi="ＭＳ 明朝"/>
          <w:sz w:val="22"/>
          <w:szCs w:val="22"/>
        </w:rPr>
      </w:pPr>
    </w:p>
    <w:p w14:paraId="4160192B" w14:textId="77777777" w:rsidR="00E234F7" w:rsidRPr="00E234F7" w:rsidRDefault="00E234F7" w:rsidP="00E234F7">
      <w:pPr>
        <w:spacing w:line="240" w:lineRule="auto"/>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７　本要件を遵守しない場合は、即刻退場頂き、以降の見本市出展を御遠慮頂きます。</w:t>
      </w:r>
    </w:p>
    <w:p w14:paraId="1EB24E54" w14:textId="77777777" w:rsidR="00E234F7" w:rsidRPr="00E234F7" w:rsidRDefault="00E234F7" w:rsidP="00E234F7">
      <w:pPr>
        <w:spacing w:line="240" w:lineRule="auto"/>
        <w:rPr>
          <w:rFonts w:ascii="HG丸ｺﾞｼｯｸM-PRO" w:eastAsia="HG丸ｺﾞｼｯｸM-PRO"/>
          <w:sz w:val="22"/>
          <w:szCs w:val="22"/>
        </w:rPr>
      </w:pPr>
    </w:p>
    <w:p w14:paraId="3973BFD6" w14:textId="77777777" w:rsidR="007D2301" w:rsidRPr="00E234F7" w:rsidRDefault="007D2301" w:rsidP="00E234F7">
      <w:pPr>
        <w:spacing w:line="240" w:lineRule="auto"/>
      </w:pPr>
    </w:p>
    <w:sectPr w:rsidR="007D2301" w:rsidRPr="00E234F7" w:rsidSect="00E234F7">
      <w:headerReference w:type="default" r:id="rId7"/>
      <w:footnotePr>
        <w:numFmt w:val="lowerRoman"/>
      </w:footnotePr>
      <w:endnotePr>
        <w:numFmt w:val="decimal"/>
        <w:numStart w:val="0"/>
      </w:endnotePr>
      <w:pgSz w:w="11906" w:h="16838" w:code="9"/>
      <w:pgMar w:top="1134" w:right="851" w:bottom="851" w:left="1134"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AE63" w14:textId="77777777" w:rsidR="0028418B" w:rsidRDefault="0028418B" w:rsidP="0028418B">
      <w:pPr>
        <w:spacing w:line="240" w:lineRule="auto"/>
      </w:pPr>
      <w:r>
        <w:separator/>
      </w:r>
    </w:p>
  </w:endnote>
  <w:endnote w:type="continuationSeparator" w:id="0">
    <w:p w14:paraId="08D1C390" w14:textId="77777777" w:rsidR="0028418B" w:rsidRDefault="0028418B" w:rsidP="00284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34DFC" w14:textId="77777777" w:rsidR="0028418B" w:rsidRDefault="0028418B" w:rsidP="0028418B">
      <w:pPr>
        <w:spacing w:line="240" w:lineRule="auto"/>
      </w:pPr>
      <w:r>
        <w:separator/>
      </w:r>
    </w:p>
  </w:footnote>
  <w:footnote w:type="continuationSeparator" w:id="0">
    <w:p w14:paraId="0A78F1BE" w14:textId="77777777" w:rsidR="0028418B" w:rsidRDefault="0028418B" w:rsidP="00284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B9BF" w14:textId="6F3E40BC" w:rsidR="002955F0" w:rsidRPr="002955F0" w:rsidRDefault="00E234F7">
    <w:pPr>
      <w:pStyle w:val="a3"/>
      <w:rPr>
        <w:rFonts w:ascii="ＭＳ ゴシック" w:eastAsia="ＭＳ ゴシック" w:hAnsi="ＭＳ ゴシック"/>
      </w:rPr>
    </w:pPr>
    <w:r>
      <w:rPr>
        <w:rFonts w:ascii="ＭＳ ゴシック" w:eastAsia="ＭＳ ゴシック" w:hAnsi="ＭＳ ゴシック" w:hint="eastAsia"/>
        <w:bdr w:val="single" w:sz="4" w:space="0" w:color="auto"/>
      </w:rPr>
      <w:t>別紙</w:t>
    </w:r>
    <w:r w:rsidR="0065013A">
      <w:rPr>
        <w:rFonts w:ascii="ＭＳ ゴシック" w:eastAsia="ＭＳ ゴシック" w:hAnsi="ＭＳ ゴシック" w:hint="eastAsia"/>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994"/>
    <w:multiLevelType w:val="hybridMultilevel"/>
    <w:tmpl w:val="9C586E8A"/>
    <w:lvl w:ilvl="0" w:tplc="4D3419AE">
      <w:start w:val="2"/>
      <w:numFmt w:val="decimalEnclosedCircle"/>
      <w:lvlText w:val="%1"/>
      <w:lvlJc w:val="left"/>
      <w:pPr>
        <w:tabs>
          <w:tab w:val="num" w:pos="1251"/>
        </w:tabs>
        <w:ind w:left="1251" w:hanging="495"/>
      </w:pPr>
      <w:rPr>
        <w:rFonts w:hint="eastAsia"/>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326"/>
  <w:displayHorizontalDrawingGridEvery w:val="0"/>
  <w:characterSpacingControl w:val="compressPunctuation"/>
  <w:hdrShapeDefaults>
    <o:shapedefaults v:ext="edit" spidmax="1024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418B"/>
    <w:rsid w:val="00073DC0"/>
    <w:rsid w:val="000F77BA"/>
    <w:rsid w:val="0011487E"/>
    <w:rsid w:val="001370E7"/>
    <w:rsid w:val="00175C80"/>
    <w:rsid w:val="00181F35"/>
    <w:rsid w:val="0028418B"/>
    <w:rsid w:val="00383E5F"/>
    <w:rsid w:val="004F32BE"/>
    <w:rsid w:val="005528F4"/>
    <w:rsid w:val="0065013A"/>
    <w:rsid w:val="00686018"/>
    <w:rsid w:val="007D2301"/>
    <w:rsid w:val="00861623"/>
    <w:rsid w:val="008E66EC"/>
    <w:rsid w:val="00905FAA"/>
    <w:rsid w:val="00B07045"/>
    <w:rsid w:val="00E234F7"/>
    <w:rsid w:val="00F52034"/>
    <w:rsid w:val="00F7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6277AD"/>
  <w15:docId w15:val="{500539FF-170D-48C6-A9CE-61E25141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8B"/>
    <w:pPr>
      <w:widowControl w:val="0"/>
      <w:spacing w:line="360" w:lineRule="atLeast"/>
      <w:jc w:val="both"/>
    </w:pPr>
    <w:rPr>
      <w:rFonts w:ascii="ＭＳ 明朝" w:eastAsia="ＭＳ 明朝" w:hAnsi="Century" w:cs="Times New Roman"/>
      <w:spacing w:val="6"/>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8B"/>
    <w:pPr>
      <w:tabs>
        <w:tab w:val="center" w:pos="4252"/>
        <w:tab w:val="right" w:pos="8504"/>
      </w:tabs>
      <w:snapToGrid w:val="0"/>
    </w:pPr>
  </w:style>
  <w:style w:type="character" w:customStyle="1" w:styleId="a4">
    <w:name w:val="ヘッダー (文字)"/>
    <w:basedOn w:val="a0"/>
    <w:link w:val="a3"/>
    <w:uiPriority w:val="99"/>
    <w:rsid w:val="0028418B"/>
    <w:rPr>
      <w:rFonts w:ascii="ＭＳ 明朝" w:eastAsia="ＭＳ 明朝" w:hAnsi="Century" w:cs="Times New Roman"/>
      <w:spacing w:val="6"/>
      <w:sz w:val="24"/>
      <w:szCs w:val="20"/>
    </w:rPr>
  </w:style>
  <w:style w:type="paragraph" w:styleId="a5">
    <w:name w:val="footer"/>
    <w:basedOn w:val="a"/>
    <w:link w:val="a6"/>
    <w:uiPriority w:val="99"/>
    <w:unhideWhenUsed/>
    <w:rsid w:val="0028418B"/>
    <w:pPr>
      <w:tabs>
        <w:tab w:val="center" w:pos="4252"/>
        <w:tab w:val="right" w:pos="8504"/>
      </w:tabs>
      <w:snapToGrid w:val="0"/>
    </w:pPr>
  </w:style>
  <w:style w:type="character" w:customStyle="1" w:styleId="a6">
    <w:name w:val="フッター (文字)"/>
    <w:basedOn w:val="a0"/>
    <w:link w:val="a5"/>
    <w:uiPriority w:val="99"/>
    <w:rsid w:val="0028418B"/>
    <w:rPr>
      <w:rFonts w:ascii="ＭＳ 明朝" w:eastAsia="ＭＳ 明朝" w:hAnsi="Century" w:cs="Times New Roman"/>
      <w:spacing w:val="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y-sakurai</dc:creator>
  <cp:lastModifiedBy>Quennie Wada</cp:lastModifiedBy>
  <cp:revision>4</cp:revision>
  <cp:lastPrinted>2020-05-07T02:22:00Z</cp:lastPrinted>
  <dcterms:created xsi:type="dcterms:W3CDTF">2019-03-01T03:15:00Z</dcterms:created>
  <dcterms:modified xsi:type="dcterms:W3CDTF">2020-05-07T04:43:00Z</dcterms:modified>
</cp:coreProperties>
</file>